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ind w:firstLine="281" w:firstLineChars="100"/>
        <w:rPr>
          <w:rFonts w:hint="eastAsia"/>
          <w:b/>
          <w:bCs/>
          <w:sz w:val="28"/>
          <w:szCs w:val="32"/>
          <w:lang w:val="en-US" w:eastAsia="zh-CN"/>
        </w:rPr>
      </w:pPr>
    </w:p>
    <w:p>
      <w:pPr>
        <w:ind w:firstLine="281" w:firstLineChars="100"/>
        <w:rPr>
          <w:b/>
          <w:bCs/>
          <w:sz w:val="28"/>
          <w:szCs w:val="32"/>
          <w:lang w:val="en-US"/>
        </w:rPr>
      </w:pPr>
      <w:bookmarkStart w:id="0" w:name="_GoBack"/>
      <w:bookmarkEnd w:id="0"/>
      <w:r>
        <w:rPr>
          <w:rFonts w:hint="eastAsia"/>
          <w:b/>
          <w:bCs/>
          <w:sz w:val="28"/>
          <w:szCs w:val="32"/>
          <w:lang w:val="en-US" w:eastAsia="zh-CN"/>
        </w:rPr>
        <w:t>Notice on the release of the Science and Technology Project in 2018</w:t>
      </w:r>
    </w:p>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hint="eastAsia"/>
          <w:sz w:val="22"/>
          <w:szCs w:val="24"/>
          <w:lang w:val="en-US" w:eastAsia="zh-CN"/>
        </w:rPr>
      </w:pPr>
      <w:r>
        <w:rPr>
          <w:rFonts w:hint="eastAsia"/>
          <w:sz w:val="22"/>
          <w:szCs w:val="24"/>
        </w:rPr>
        <w:t xml:space="preserve">The Finance Department, Science and Technology Department (Bureau), Research Institute, Colleges and Universities of the </w:t>
      </w:r>
      <w:r>
        <w:rPr>
          <w:rFonts w:hint="eastAsia"/>
          <w:sz w:val="22"/>
          <w:szCs w:val="24"/>
          <w:lang w:val="en-US" w:eastAsia="zh-CN"/>
        </w:rPr>
        <w:t xml:space="preserve">Ning xia </w:t>
      </w:r>
      <w:r>
        <w:rPr>
          <w:rFonts w:hint="eastAsia"/>
          <w:sz w:val="22"/>
          <w:szCs w:val="24"/>
        </w:rPr>
        <w:t>Autonomous Region</w:t>
      </w:r>
      <w:r>
        <w:rPr>
          <w:rFonts w:hint="eastAsia"/>
          <w:sz w:val="22"/>
          <w:szCs w:val="24"/>
          <w:lang w:val="en-US" w:eastAsia="zh-CN"/>
        </w:rPr>
        <w:t>:</w:t>
      </w:r>
    </w:p>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hint="eastAsia"/>
          <w:sz w:val="28"/>
          <w:szCs w:val="32"/>
          <w:lang w:val="en-US" w:eastAsia="zh-CN"/>
        </w:rPr>
      </w:pPr>
      <w:r>
        <w:rPr>
          <w:rFonts w:hint="eastAsia"/>
          <w:sz w:val="24"/>
          <w:szCs w:val="28"/>
          <w:lang w:val="en-US" w:eastAsia="zh-CN"/>
        </w:rPr>
        <w:t xml:space="preserve">    </w:t>
      </w:r>
      <w:r>
        <w:rPr>
          <w:rFonts w:hint="eastAsia"/>
          <w:sz w:val="28"/>
          <w:szCs w:val="32"/>
          <w:lang w:val="en-US" w:eastAsia="zh-CN"/>
        </w:rPr>
        <w:t>The science and technology project of the autonomous region will be announced in 2018. Project leaders carefully organize the project implementation in accordance with the requirements of research projects management in the autonomous region. Please ensure that the project is completed as planned.</w:t>
      </w:r>
    </w:p>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hint="eastAsia"/>
          <w:sz w:val="28"/>
          <w:szCs w:val="32"/>
          <w:lang w:val="en-US" w:eastAsia="zh-CN"/>
        </w:rPr>
      </w:pPr>
      <w:r>
        <w:rPr>
          <w:rFonts w:hint="eastAsia"/>
          <w:sz w:val="28"/>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hint="eastAsia"/>
          <w:sz w:val="28"/>
          <w:szCs w:val="32"/>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hint="eastAsia"/>
          <w:sz w:val="28"/>
          <w:szCs w:val="32"/>
          <w:lang w:val="en-US" w:eastAsia="zh-CN"/>
        </w:rPr>
      </w:pPr>
      <w:r>
        <w:rPr>
          <w:rFonts w:hint="eastAsia"/>
          <w:sz w:val="28"/>
          <w:szCs w:val="32"/>
          <w:lang w:val="en-US" w:eastAsia="zh-CN"/>
        </w:rPr>
        <w:t xml:space="preserve">      Ningxia Autonomous Region Science and Technology Department</w:t>
      </w:r>
    </w:p>
    <w:p>
      <w:pPr>
        <w:keepNext w:val="0"/>
        <w:keepLines w:val="0"/>
        <w:pageBreakBefore w:val="0"/>
        <w:widowControl w:val="0"/>
        <w:kinsoku/>
        <w:wordWrap/>
        <w:overflowPunct/>
        <w:topLinePunct w:val="0"/>
        <w:autoSpaceDE/>
        <w:autoSpaceDN/>
        <w:bidi w:val="0"/>
        <w:adjustRightInd/>
        <w:snapToGrid/>
        <w:spacing w:line="480" w:lineRule="auto"/>
        <w:ind w:firstLine="840" w:firstLineChars="300"/>
        <w:textAlignment w:val="auto"/>
        <w:outlineLvl w:val="9"/>
        <w:rPr>
          <w:rFonts w:hint="eastAsia"/>
          <w:sz w:val="28"/>
          <w:szCs w:val="32"/>
          <w:lang w:val="en-US" w:eastAsia="zh-CN"/>
        </w:rPr>
      </w:pPr>
      <w:r>
        <w:rPr>
          <w:rFonts w:hint="eastAsia"/>
          <w:sz w:val="28"/>
          <w:szCs w:val="32"/>
          <w:lang w:val="en-US" w:eastAsia="zh-CN"/>
        </w:rPr>
        <w:t>Ningxia Autonomous Region Finance Department</w:t>
      </w:r>
    </w:p>
    <w:p>
      <w:pPr>
        <w:keepNext w:val="0"/>
        <w:keepLines w:val="0"/>
        <w:pageBreakBefore w:val="0"/>
        <w:widowControl w:val="0"/>
        <w:kinsoku/>
        <w:wordWrap/>
        <w:overflowPunct/>
        <w:topLinePunct w:val="0"/>
        <w:autoSpaceDE/>
        <w:autoSpaceDN/>
        <w:bidi w:val="0"/>
        <w:adjustRightInd/>
        <w:snapToGrid/>
        <w:spacing w:line="480" w:lineRule="auto"/>
        <w:ind w:firstLine="840" w:firstLineChars="300"/>
        <w:textAlignment w:val="auto"/>
        <w:outlineLvl w:val="9"/>
        <w:rPr>
          <w:rFonts w:hint="eastAsia"/>
          <w:sz w:val="28"/>
          <w:szCs w:val="32"/>
          <w:lang w:val="en-US" w:eastAsia="zh-CN"/>
        </w:rPr>
      </w:pPr>
      <w:r>
        <w:rPr>
          <w:rFonts w:hint="eastAsia"/>
          <w:sz w:val="28"/>
          <w:szCs w:val="32"/>
          <w:lang w:val="en-US" w:eastAsia="zh-CN"/>
        </w:rPr>
        <w:t xml:space="preserve">                       May 16.2018</w:t>
      </w:r>
    </w:p>
    <w:p>
      <w:pPr>
        <w:keepNext w:val="0"/>
        <w:keepLines w:val="0"/>
        <w:pageBreakBefore w:val="0"/>
        <w:widowControl w:val="0"/>
        <w:kinsoku/>
        <w:wordWrap/>
        <w:overflowPunct/>
        <w:topLinePunct w:val="0"/>
        <w:autoSpaceDE/>
        <w:autoSpaceDN/>
        <w:bidi w:val="0"/>
        <w:adjustRightInd/>
        <w:snapToGrid/>
        <w:spacing w:line="480" w:lineRule="auto"/>
        <w:ind w:firstLine="840" w:firstLineChars="300"/>
        <w:textAlignment w:val="auto"/>
        <w:outlineLvl w:val="9"/>
        <w:rPr>
          <w:rFonts w:hint="eastAsia"/>
          <w:sz w:val="28"/>
          <w:szCs w:val="32"/>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ind w:firstLine="840" w:firstLineChars="300"/>
        <w:textAlignment w:val="auto"/>
        <w:outlineLvl w:val="9"/>
        <w:rPr>
          <w:rFonts w:hint="eastAsia"/>
          <w:sz w:val="28"/>
          <w:szCs w:val="32"/>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hint="eastAsia"/>
          <w:sz w:val="24"/>
          <w:szCs w:val="28"/>
          <w:lang w:val="en-US" w:eastAsia="zh-CN"/>
        </w:rPr>
      </w:pPr>
      <w:r>
        <w:rPr>
          <w:rFonts w:hint="eastAsia"/>
          <w:sz w:val="24"/>
          <w:szCs w:val="28"/>
          <w:lang w:val="en-US" w:eastAsia="zh-CN"/>
        </w:rPr>
        <w:t>Annex: Ningxia autonomous region science and technology project list in 2018.</w:t>
      </w: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sz w:val="28"/>
          <w:szCs w:val="32"/>
          <w:lang w:val="en-US" w:eastAsia="zh-CN"/>
        </w:rPr>
      </w:pPr>
    </w:p>
    <w:p>
      <w:pPr>
        <w:keepNext w:val="0"/>
        <w:keepLines w:val="0"/>
        <w:pageBreakBefore w:val="0"/>
        <w:widowControl w:val="0"/>
        <w:kinsoku/>
        <w:wordWrap/>
        <w:overflowPunct/>
        <w:topLinePunct w:val="0"/>
        <w:autoSpaceDE/>
        <w:autoSpaceDN/>
        <w:bidi w:val="0"/>
        <w:adjustRightInd/>
        <w:snapToGrid/>
        <w:spacing w:line="480" w:lineRule="auto"/>
        <w:ind w:firstLine="560" w:firstLineChars="200"/>
        <w:textAlignment w:val="auto"/>
        <w:outlineLvl w:val="9"/>
        <w:rPr>
          <w:rFonts w:hint="eastAsia"/>
          <w:sz w:val="28"/>
          <w:szCs w:val="32"/>
          <w:lang w:val="en-US" w:eastAsia="zh-CN"/>
        </w:rPr>
      </w:pPr>
      <w:r>
        <w:rPr>
          <w:rFonts w:hint="eastAsia"/>
          <w:sz w:val="28"/>
          <w:szCs w:val="32"/>
          <w:lang w:val="en-US" w:eastAsia="zh-CN"/>
        </w:rPr>
        <w:t xml:space="preserve">The projects (grant number: 2018CMG03005) marked in red are the supporting projects of this study in the picture below. </w:t>
      </w:r>
    </w:p>
    <w:p>
      <w:pPr>
        <w:keepNext w:val="0"/>
        <w:keepLines w:val="0"/>
        <w:pageBreakBefore w:val="0"/>
        <w:widowControl w:val="0"/>
        <w:kinsoku/>
        <w:wordWrap/>
        <w:overflowPunct/>
        <w:topLinePunct w:val="0"/>
        <w:autoSpaceDE/>
        <w:autoSpaceDN/>
        <w:bidi w:val="0"/>
        <w:adjustRightInd/>
        <w:snapToGrid/>
        <w:spacing w:line="480" w:lineRule="auto"/>
        <w:textAlignment w:val="auto"/>
        <w:outlineLvl w:val="9"/>
        <w:rPr>
          <w:rFonts w:hint="eastAsia"/>
          <w:sz w:val="28"/>
          <w:szCs w:val="32"/>
          <w:lang w:val="en-US" w:eastAsia="zh-CN"/>
        </w:rPr>
      </w:pPr>
    </w:p>
    <w:p>
      <w:pPr>
        <w:rPr>
          <w:rFonts w:hint="eastAsia"/>
        </w:rPr>
      </w:pPr>
      <w:r>
        <w:drawing>
          <wp:inline distT="0" distB="0" distL="0" distR="0">
            <wp:extent cx="5274310" cy="8543925"/>
            <wp:effectExtent l="19050" t="0" r="2540" b="0"/>
            <wp:docPr id="1" name="图片 1" descr="C:\Users\Administrator\Desktop\盐池惠民计划\科技厅立项批文\293953555561004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C:\Users\Administrator\Desktop\盐池惠民计划\科技厅立项批文\2939535555610043.jpg"/>
                    <pic:cNvPicPr>
                      <a:picLocks noChangeAspect="1" noChangeArrowheads="1"/>
                    </pic:cNvPicPr>
                  </pic:nvPicPr>
                  <pic:blipFill>
                    <a:blip r:embed="rId4"/>
                    <a:srcRect/>
                    <a:stretch>
                      <a:fillRect/>
                    </a:stretch>
                  </pic:blipFill>
                  <pic:spPr>
                    <a:xfrm>
                      <a:off x="0" y="0"/>
                      <a:ext cx="5274310" cy="8543925"/>
                    </a:xfrm>
                    <a:prstGeom prst="rect">
                      <a:avLst/>
                    </a:prstGeom>
                    <a:noFill/>
                    <a:ln w="9525">
                      <a:noFill/>
                      <a:miter lim="800000"/>
                      <a:headEnd/>
                      <a:tailEnd/>
                    </a:ln>
                  </pic:spPr>
                </pic:pic>
              </a:graphicData>
            </a:graphic>
          </wp:inline>
        </w:drawing>
      </w:r>
    </w:p>
    <w:p>
      <w:pPr>
        <w:rPr>
          <w:rFonts w:hint="eastAsia"/>
        </w:rPr>
      </w:pPr>
      <w:r>
        <w:drawing>
          <wp:inline distT="0" distB="0" distL="0" distR="0">
            <wp:extent cx="5273675" cy="8562975"/>
            <wp:effectExtent l="19050" t="0" r="2858" b="0"/>
            <wp:docPr id="2" name="图片 2" descr="C:\Users\Administrator\Desktop\盐池惠民计划\科技厅立项批文\78906809881791971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C:\Users\Administrator\Desktop\盐池惠民计划\科技厅立项批文\789068098817919713.jpg"/>
                    <pic:cNvPicPr>
                      <a:picLocks noChangeAspect="1" noChangeArrowheads="1"/>
                    </pic:cNvPicPr>
                  </pic:nvPicPr>
                  <pic:blipFill>
                    <a:blip r:embed="rId5"/>
                    <a:srcRect/>
                    <a:stretch>
                      <a:fillRect/>
                    </a:stretch>
                  </pic:blipFill>
                  <pic:spPr>
                    <a:xfrm>
                      <a:off x="0" y="0"/>
                      <a:ext cx="5274310" cy="8563491"/>
                    </a:xfrm>
                    <a:prstGeom prst="rect">
                      <a:avLst/>
                    </a:prstGeom>
                    <a:noFill/>
                    <a:ln w="9525">
                      <a:noFill/>
                      <a:miter lim="800000"/>
                      <a:headEnd/>
                      <a:tailEnd/>
                    </a:ln>
                  </pic:spPr>
                </pic:pic>
              </a:graphicData>
            </a:graphic>
          </wp:inline>
        </w:drawing>
      </w:r>
    </w:p>
    <w:p>
      <w:r>
        <w:rPr>
          <w:sz w:val="21"/>
        </w:rPr>
        <w:pict>
          <v:line id="_x0000_s2054" o:spid="_x0000_s2054" o:spt="20" style="position:absolute;left:0pt;margin-left:369.9pt;margin-top:358.4pt;height:133pt;width:0.05pt;z-index:251661312;mso-width-relative:page;mso-height-relative:page;" fillcolor="#FFFFFF" filled="t" stroked="t" coordsize="21600,21600">
            <v:path arrowok="t"/>
            <v:fill on="t" color2="#FFFFFF" focussize="0,0"/>
            <v:stroke color="#FF0000"/>
            <v:imagedata o:title=""/>
            <o:lock v:ext="edit" aspectratio="f"/>
          </v:line>
        </w:pict>
      </w:r>
      <w:r>
        <w:rPr>
          <w:sz w:val="21"/>
        </w:rPr>
        <w:pict>
          <v:line id="_x0000_s2053" o:spid="_x0000_s2053" o:spt="20" style="position:absolute;left:0pt;margin-left:20.9pt;margin-top:491.4pt;height:0.05pt;width:350pt;z-index:251660288;mso-width-relative:page;mso-height-relative:page;" fillcolor="#FFFFFF" filled="t" stroked="t" coordsize="21600,21600">
            <v:path arrowok="t"/>
            <v:fill on="t" color2="#FFFFFF" focussize="0,0"/>
            <v:stroke color="#FF0000"/>
            <v:imagedata o:title=""/>
            <o:lock v:ext="edit" aspectratio="f"/>
          </v:line>
        </w:pict>
      </w:r>
      <w:r>
        <w:rPr>
          <w:sz w:val="21"/>
        </w:rPr>
        <w:pict>
          <v:line id="_x0000_s2052" o:spid="_x0000_s2052" o:spt="20" style="position:absolute;left:0pt;margin-left:20.9pt;margin-top:358.9pt;height:133.5pt;width:0.05pt;z-index:251659264;mso-width-relative:page;mso-height-relative:page;" fillcolor="#FFFFFF" filled="t" stroked="t" coordsize="21600,21600">
            <v:path arrowok="t"/>
            <v:fill on="t" color2="#FFFFFF" focussize="0,0"/>
            <v:stroke color="#FF0000"/>
            <v:imagedata o:title=""/>
            <o:lock v:ext="edit" aspectratio="f"/>
          </v:line>
        </w:pict>
      </w:r>
      <w:r>
        <w:rPr>
          <w:sz w:val="21"/>
        </w:rPr>
        <w:pict>
          <v:line id="_x0000_s2051" o:spid="_x0000_s2051" o:spt="20" style="position:absolute;left:0pt;margin-left:21.9pt;margin-top:358.65pt;height:0.05pt;width:349.5pt;z-index:251658240;mso-width-relative:page;mso-height-relative:page;" fillcolor="#FFFFFF" filled="t" stroked="t" coordsize="21600,21600">
            <v:path arrowok="t"/>
            <v:fill on="t" color2="#FFFFFF" focussize="0,0"/>
            <v:stroke color="#FF0000"/>
            <v:imagedata o:title=""/>
            <o:lock v:ext="edit" aspectratio="f"/>
          </v:line>
        </w:pict>
      </w:r>
      <w:r>
        <w:drawing>
          <wp:inline distT="0" distB="0" distL="0" distR="0">
            <wp:extent cx="5274310" cy="8562975"/>
            <wp:effectExtent l="19050" t="0" r="2540" b="0"/>
            <wp:docPr id="3" name="图片 3" descr="C:\Users\Administrator\Desktop\盐池惠民计划\科技厅立项批文\82213011253454681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Users\Administrator\Desktop\盐池惠民计划\科技厅立项批文\822130112534546818.jpg"/>
                    <pic:cNvPicPr>
                      <a:picLocks noChangeAspect="1" noChangeArrowheads="1"/>
                    </pic:cNvPicPr>
                  </pic:nvPicPr>
                  <pic:blipFill>
                    <a:blip r:embed="rId6"/>
                    <a:srcRect/>
                    <a:stretch>
                      <a:fillRect/>
                    </a:stretch>
                  </pic:blipFill>
                  <pic:spPr>
                    <a:xfrm>
                      <a:off x="0" y="0"/>
                      <a:ext cx="5274310" cy="8562975"/>
                    </a:xfrm>
                    <a:prstGeom prst="rect">
                      <a:avLst/>
                    </a:prstGeom>
                    <a:noFill/>
                    <a:ln w="9525">
                      <a:noFill/>
                      <a:miter lim="800000"/>
                      <a:headEnd/>
                      <a:tailEnd/>
                    </a:ln>
                  </pic:spPr>
                </pic:pic>
              </a:graphicData>
            </a:graphic>
          </wp:inline>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auto"/>
    <w:pitch w:val="default"/>
    <w:sig w:usb0="E0002E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7"/>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4530F"/>
    <w:rsid w:val="0004530F"/>
    <w:rsid w:val="003A4E1E"/>
    <w:rsid w:val="0D113F8A"/>
    <w:rsid w:val="198A48FA"/>
    <w:rsid w:val="57E2605E"/>
    <w:rsid w:val="5BDC3B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Balloon Text"/>
    <w:basedOn w:val="1"/>
    <w:link w:val="9"/>
    <w:semiHidden/>
    <w:unhideWhenUsed/>
    <w:uiPriority w:val="99"/>
    <w:rPr>
      <w:sz w:val="18"/>
      <w:szCs w:val="18"/>
    </w:rPr>
  </w:style>
  <w:style w:type="paragraph" w:styleId="3">
    <w:name w:val="footer"/>
    <w:basedOn w:val="1"/>
    <w:link w:val="8"/>
    <w:semiHidden/>
    <w:unhideWhenUsed/>
    <w:uiPriority w:val="99"/>
    <w:pPr>
      <w:tabs>
        <w:tab w:val="center" w:pos="4153"/>
        <w:tab w:val="right" w:pos="8306"/>
      </w:tabs>
      <w:snapToGrid w:val="0"/>
      <w:jc w:val="left"/>
    </w:pPr>
    <w:rPr>
      <w:sz w:val="18"/>
      <w:szCs w:val="18"/>
    </w:rPr>
  </w:style>
  <w:style w:type="paragraph" w:styleId="4">
    <w:name w:val="header"/>
    <w:basedOn w:val="1"/>
    <w:link w:val="7"/>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5"/>
    <w:link w:val="4"/>
    <w:semiHidden/>
    <w:uiPriority w:val="99"/>
    <w:rPr>
      <w:sz w:val="18"/>
      <w:szCs w:val="18"/>
    </w:rPr>
  </w:style>
  <w:style w:type="character" w:customStyle="1" w:styleId="8">
    <w:name w:val="页脚 Char"/>
    <w:basedOn w:val="5"/>
    <w:link w:val="3"/>
    <w:semiHidden/>
    <w:qFormat/>
    <w:uiPriority w:val="99"/>
    <w:rPr>
      <w:sz w:val="18"/>
      <w:szCs w:val="18"/>
    </w:rPr>
  </w:style>
  <w:style w:type="character" w:customStyle="1" w:styleId="9">
    <w:name w:val="批注框文本 Char"/>
    <w:basedOn w:val="5"/>
    <w:link w:val="2"/>
    <w:semiHidden/>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54"/>
    <customShpInfo spid="_x0000_s2053"/>
    <customShpInfo spid="_x0000_s2052"/>
    <customShpInfo spid="_x0000_s205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Pages>
  <Words>0</Words>
  <Characters>5</Characters>
  <Lines>1</Lines>
  <Paragraphs>1</Paragraphs>
  <TotalTime>0</TotalTime>
  <ScaleCrop>false</ScaleCrop>
  <LinksUpToDate>false</LinksUpToDate>
  <CharactersWithSpaces>5</CharactersWithSpaces>
  <Application>WPS Office_10.1.0.7698_F1E327BC-269C-435d-A152-05C5408002CA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2018-08-02T00:09:00Z</dcterms:created>
  <dc:creator>微软用户</dc:creator>
  <cp:lastModifiedBy>欣俊</cp:lastModifiedBy>
  <dcterms:modified xsi:type="dcterms:W3CDTF">2019-07-01T14:41:59Z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2052-10.1.0.7698</vt:lpwstr>
  </property>
</Properties>
</file>